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caps/>
          <w:color w:val="666666"/>
          <w:sz w:val="18"/>
          <w:szCs w:val="18"/>
        </w:rPr>
        <w:t xml:space="preserve">WELCOME  ·  Internal Newsletter  ·  Issue #2</w:t>
      </w:r>
    </w:p>
    <w:p>
      <w:pPr>
        <w:spacing w:after="240" w:before="0"/>
      </w:pPr>
      <w:r>
        <w:rPr>
          <w:rFonts w:ascii="Arial" w:cs="Arial" w:eastAsia="Arial" w:hAnsi="Arial"/>
          <w:color w:val="666666"/>
          <w:sz w:val="18"/>
          <w:szCs w:val="18"/>
        </w:rPr>
        <w:t xml:space="preserve">June 29, 2026  ·  Confidential — Team Only</w:t>
      </w:r>
    </w:p>
    <w:p>
      <w:pPr>
        <w:pBdr>
          <w:bottom w:val="single" w:color="1D5C47" w:sz="8" w:space="1"/>
        </w:pBdr>
        <w:spacing w:after="20" w:before="20"/>
      </w:pPr>
    </w:p>
    <w:p>
      <w:pPr>
        <w:spacing w:after="40" w:before="240"/>
      </w:pPr>
      <w:r>
        <w:rPr>
          <w:rFonts w:ascii="Arial" w:cs="Arial" w:eastAsia="Arial" w:hAnsi="Arial"/>
          <w:b/>
          <w:bCs/>
          <w:color w:val="1D5C47"/>
          <w:sz w:val="52"/>
          <w:szCs w:val="52"/>
        </w:rPr>
        <w:t xml:space="preserve">Two Papers That Changed</w:t>
      </w:r>
    </w:p>
    <w:p>
      <w:pPr>
        <w:spacing w:after="80" w:before="0"/>
      </w:pPr>
      <w:r>
        <w:rPr>
          <w:rFonts w:ascii="Arial" w:cs="Arial" w:eastAsia="Arial" w:hAnsi="Arial"/>
          <w:b/>
          <w:bCs/>
          <w:color w:val="1D5C47"/>
          <w:sz w:val="52"/>
          <w:szCs w:val="52"/>
        </w:rPr>
        <w:t xml:space="preserve">How We Think About WELCOME.</w:t>
      </w:r>
    </w:p>
    <w:p>
      <w:pPr>
        <w:spacing w:after="320" w:before="0"/>
      </w:pPr>
      <w:r>
        <w:rPr>
          <w:rFonts w:ascii="Arial" w:cs="Arial" w:eastAsia="Arial" w:hAnsi="Arial"/>
          <w:color w:val="666666"/>
          <w:sz w:val="24"/>
          <w:szCs w:val="24"/>
        </w:rPr>
        <w:t xml:space="preserve">What we read, what we found, and the user flow we built from it.</w:t>
      </w:r>
    </w:p>
    <w:p>
      <w:pPr>
        <w:spacing w:after="100" w:before="0"/>
      </w:pPr>
      <w:r>
        <w:rPr>
          <w:rFonts w:ascii="Arial" w:cs="Arial" w:eastAsia="Arial" w:hAnsi="Arial"/>
          <w:b/>
          <w:bCs/>
          <w:color w:val="1A1A18"/>
          <w:sz w:val="22"/>
          <w:szCs w:val="22"/>
        </w:rPr>
        <w:t xml:space="preserve">Yesterday we did two things.</w:t>
      </w:r>
    </w:p>
    <w:p>
      <w:pPr>
        <w:spacing w:after="240" w:before="0"/>
      </w:pPr>
      <w:r>
        <w:rPr>
          <w:rFonts w:ascii="Arial" w:cs="Arial" w:eastAsia="Arial" w:hAnsi="Arial"/>
          <w:color w:val="1A1A18"/>
          <w:sz w:val="22"/>
          <w:szCs w:val="22"/>
        </w:rPr>
        <w:t xml:space="preserve">We read two scientific papers that sit closer to the heart of this project than anything else in our library. And then we built the complete 15-screen user flow for the WELCOME platform. Here is what happened.</w:t>
      </w:r>
    </w:p>
    <w:p>
      <w:pPr>
        <w:pStyle w:val="Heading2"/>
      </w:pPr>
      <w:r>
        <w:rPr>
          <w:rFonts w:ascii="Arial" w:cs="Arial" w:eastAsia="Arial" w:hAnsi="Arial"/>
          <w:b/>
          <w:bCs/>
          <w:color w:val="1A1A18"/>
          <w:sz w:val="20"/>
          <w:szCs w:val="20"/>
        </w:rPr>
        <w:t xml:space="preserve">Paper One</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1D5C47" w:sz="6"/>
              <w:left w:val="none" w:color="FFFFFF" w:sz="0"/>
              <w:bottom w:val="none" w:color="FFFFFF" w:sz="0"/>
              <w:right w:val="none" w:color="FFFFFF" w:sz="0"/>
            </w:tcBorders>
            <w:shd w:fill="E8F5F1" w:val="clear"/>
            <w:tcMar>
              <w:top w:type="dxa" w:w="160"/>
              <w:left w:type="dxa" w:w="240"/>
              <w:bottom w:type="dxa" w:w="160"/>
              <w:right w:type="dxa" w:w="240"/>
            </w:tcMar>
          </w:tcPr>
          <w:p>
            <w:pPr>
              <w:spacing w:after="60" w:before="0"/>
            </w:pPr>
            <w:r>
              <w:rPr>
                <w:rFonts w:ascii="Arial" w:cs="Arial" w:eastAsia="Arial" w:hAnsi="Arial"/>
                <w:b/>
                <w:bCs/>
                <w:color w:val="1D5C47"/>
                <w:sz w:val="22"/>
                <w:szCs w:val="22"/>
              </w:rPr>
              <w:t xml:space="preserve">Designing Wiimprovisation for Mediation in Group Music Therapy with Children</w:t>
            </w:r>
          </w:p>
          <w:p>
            <w:pPr>
              <w:spacing w:after="100" w:before="0"/>
            </w:pPr>
            <w:r>
              <w:rPr>
                <w:rFonts w:ascii="Arial" w:cs="Arial" w:eastAsia="Arial" w:hAnsi="Arial"/>
                <w:i/>
                <w:iCs/>
                <w:color w:val="666666"/>
                <w:sz w:val="18"/>
                <w:szCs w:val="18"/>
              </w:rPr>
              <w:t xml:space="preserve">Benveniste, Jouvelot, Lecourt, Michel — IDC 2009, Como, Italy</w:t>
            </w:r>
          </w:p>
          <w:p>
            <w:pPr>
              <w:spacing w:after="0" w:before="0"/>
            </w:pPr>
            <w:r>
              <w:rPr>
                <w:rFonts w:ascii="Arial" w:cs="Arial" w:eastAsia="Arial" w:hAnsi="Arial"/>
                <w:color w:val="1A1A18"/>
                <w:sz w:val="20"/>
                <w:szCs w:val="20"/>
              </w:rPr>
              <w:t xml:space="preserve">Children aged 7 to 12 with behavioural disorders used Nintendo Wiimotes as virtual instruments across 18 therapy sessions. Their physical movements were mapped in real time to sound. The results were striking: children who rarely projected into the future began planning sessions weeks ahead. One child came to the therapist unprompted and said “Can we come for the Wii today with P.? We discussed this last Friday.” The technology did not replace the therapeutic relationship. It became the object through which that relationship could happen. The children said things like “Now I’m a real musician.” That sentence matters to us.</w:t>
            </w:r>
          </w:p>
        </w:tc>
      </w:tr>
    </w:tbl>
    <w:p>
      <w:pPr>
        <w:spacing w:after="0" w:before="120"/>
      </w:pPr>
    </w:p>
    <w:p>
      <w:pPr>
        <w:spacing w:after="80" w:before="0"/>
      </w:pPr>
      <w:r>
        <w:rPr>
          <w:rFonts w:ascii="Arial" w:cs="Arial" w:eastAsia="Arial" w:hAnsi="Arial"/>
          <w:b/>
          <w:bCs/>
          <w:color w:val="1A1A18"/>
          <w:sz w:val="20"/>
          <w:szCs w:val="20"/>
        </w:rPr>
        <w:t xml:space="preserve">What this means for WELCOME:</w:t>
      </w:r>
    </w:p>
    <w:p>
      <w:pPr>
        <w:spacing w:after="200" w:before="0"/>
      </w:pPr>
      <w:r>
        <w:rPr>
          <w:rFonts w:ascii="Arial" w:cs="Arial" w:eastAsia="Arial" w:hAnsi="Arial"/>
          <w:color w:val="1A1A18"/>
          <w:sz w:val="22"/>
          <w:szCs w:val="22"/>
        </w:rPr>
        <w:t xml:space="preserve">Movement-to-sound conversion produces genuine therapeutic mediation in children — not just engagement, but psychodynamic expression. The children did not need to understand music. They needed to feel that the sound came from them.</w:t>
      </w:r>
    </w:p>
    <w:p>
      <w:pPr>
        <w:pStyle w:val="Heading2"/>
      </w:pPr>
      <w:r>
        <w:rPr>
          <w:rFonts w:ascii="Arial" w:cs="Arial" w:eastAsia="Arial" w:hAnsi="Arial"/>
          <w:b/>
          <w:bCs/>
          <w:color w:val="1A1A18"/>
          <w:sz w:val="20"/>
          <w:szCs w:val="20"/>
        </w:rPr>
        <w:t xml:space="preserve">Paper Two</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1D5C47" w:sz="6"/>
              <w:left w:val="none" w:color="FFFFFF" w:sz="0"/>
              <w:bottom w:val="none" w:color="FFFFFF" w:sz="0"/>
              <w:right w:val="none" w:color="FFFFFF" w:sz="0"/>
            </w:tcBorders>
            <w:shd w:fill="E8F5F1" w:val="clear"/>
            <w:tcMar>
              <w:top w:type="dxa" w:w="160"/>
              <w:left w:type="dxa" w:w="240"/>
              <w:bottom w:type="dxa" w:w="160"/>
              <w:right w:type="dxa" w:w="240"/>
            </w:tcMar>
          </w:tcPr>
          <w:p>
            <w:pPr>
              <w:spacing w:after="60" w:before="0"/>
            </w:pPr>
            <w:r>
              <w:rPr>
                <w:rFonts w:ascii="Arial" w:cs="Arial" w:eastAsia="Arial" w:hAnsi="Arial"/>
                <w:b/>
                <w:bCs/>
                <w:color w:val="1D5C47"/>
                <w:sz w:val="22"/>
                <w:szCs w:val="22"/>
              </w:rPr>
              <w:t xml:space="preserve">Identification and Quantification of Colours in Children’s Drawings</w:t>
            </w:r>
          </w:p>
          <w:p>
            <w:pPr>
              <w:spacing w:after="100" w:before="0"/>
            </w:pPr>
            <w:r>
              <w:rPr>
                <w:rFonts w:ascii="Arial" w:cs="Arial" w:eastAsia="Arial" w:hAnsi="Arial"/>
                <w:i/>
                <w:iCs/>
                <w:color w:val="666666"/>
                <w:sz w:val="18"/>
                <w:szCs w:val="18"/>
              </w:rPr>
              <w:t xml:space="preserve">Cocco, Ceré, Xanthos, Brandt — COMHUM 2018, University of Lausanne</w:t>
            </w:r>
          </w:p>
          <w:p>
            <w:pPr>
              <w:spacing w:after="0" w:before="0"/>
            </w:pPr>
            <w:r>
              <w:rPr>
                <w:rFonts w:ascii="Arial" w:cs="Arial" w:eastAsia="Arial" w:hAnsi="Arial"/>
                <w:color w:val="1A1A18"/>
                <w:sz w:val="20"/>
                <w:szCs w:val="20"/>
              </w:rPr>
              <w:t xml:space="preserve">A computational algorithm was developed that maps every pixel of a child’s drawing to one of ten colour categories — red, orange, yellow, green, cyan, blue, purple, pink, white, and achromatic — with accuracy that closely matches human perception. Applied to over 1,200 drawings from children in Japan, Russia, and Switzerland, the method revealed that colour choice is not random. It reflects strategy, emotional state, and cultural context. The algorithm works. The data is meaningful.</w:t>
            </w:r>
          </w:p>
        </w:tc>
      </w:tr>
    </w:tbl>
    <w:p>
      <w:pPr>
        <w:spacing w:after="0" w:before="120"/>
      </w:pPr>
    </w:p>
    <w:p>
      <w:pPr>
        <w:spacing w:after="80" w:before="0"/>
      </w:pPr>
      <w:r>
        <w:rPr>
          <w:rFonts w:ascii="Arial" w:cs="Arial" w:eastAsia="Arial" w:hAnsi="Arial"/>
          <w:b/>
          <w:bCs/>
          <w:color w:val="1A1A18"/>
          <w:sz w:val="20"/>
          <w:szCs w:val="20"/>
        </w:rPr>
        <w:t xml:space="preserve">What this means for WELCOME:</w:t>
      </w:r>
    </w:p>
    <w:p>
      <w:pPr>
        <w:spacing w:after="200" w:before="0"/>
      </w:pPr>
      <w:r>
        <w:rPr>
          <w:rFonts w:ascii="Arial" w:cs="Arial" w:eastAsia="Arial" w:hAnsi="Arial"/>
          <w:color w:val="1A1A18"/>
          <w:sz w:val="22"/>
          <w:szCs w:val="22"/>
        </w:rPr>
        <w:t xml:space="preserve">A child’s colour choices in a drawing can be reliably measured and interpreted computationally. This is the technical foundation for WELCOME’s mapping algorithm — warm colours to major keys, cool colours to minor, colour entropy to rhythmic complexity.</w:t>
      </w:r>
    </w:p>
    <w:p>
      <w:pPr>
        <w:pStyle w:val="Heading2"/>
      </w:pPr>
      <w:r>
        <w:rPr>
          <w:rFonts w:ascii="Arial" w:cs="Arial" w:eastAsia="Arial" w:hAnsi="Arial"/>
          <w:b/>
          <w:bCs/>
          <w:color w:val="1A1A18"/>
          <w:sz w:val="20"/>
          <w:szCs w:val="20"/>
        </w:rPr>
        <w:t xml:space="preserve">Why These Two Papers Together</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8680A" w:sz="12"/>
              <w:left w:val="none" w:color="FFFFFF" w:sz="0"/>
              <w:bottom w:val="none" w:color="FFFFFF" w:sz="0"/>
              <w:right w:val="none" w:color="FFFFFF" w:sz="0"/>
            </w:tcBorders>
            <w:shd w:fill="FEF3E2" w:val="clear"/>
            <w:tcMar>
              <w:top w:type="dxa" w:w="160"/>
              <w:left w:type="dxa" w:w="240"/>
              <w:bottom w:type="dxa" w:w="160"/>
              <w:right w:type="dxa" w:w="240"/>
            </w:tcMar>
          </w:tcPr>
          <w:p>
            <w:pPr>
              <w:spacing w:after="60" w:before="0"/>
            </w:pPr>
            <w:r>
              <w:rPr>
                <w:rFonts w:ascii="Arial" w:cs="Arial" w:eastAsia="Arial" w:hAnsi="Arial"/>
                <w:i w:val="false"/>
                <w:iCs w:val="false"/>
                <w:color w:val="1A1A18"/>
                <w:sz w:val="20"/>
                <w:szCs w:val="20"/>
              </w:rPr>
              <w:t xml:space="preserve">The Wiimprovisation study proves that movement-to-sound conversion produces genuine therapeutic mediation in children.</w:t>
            </w:r>
          </w:p>
          <w:p>
            <w:pPr>
              <w:spacing w:after="60" w:before="0"/>
            </w:pPr>
            <w:r>
              <w:rPr>
                <w:rFonts w:ascii="Arial" w:cs="Arial" w:eastAsia="Arial" w:hAnsi="Arial"/>
                <w:i w:val="false"/>
                <w:iCs w:val="false"/>
                <w:color w:val="1A1A18"/>
                <w:sz w:val="20"/>
                <w:szCs w:val="20"/>
              </w:rPr>
              <w:t xml:space="preserve">The colour study proves that a child’s colour choices in a drawing can be reliably measured and interpreted computationally.</w:t>
            </w:r>
          </w:p>
          <w:p>
            <w:pPr>
              <w:spacing w:after="60" w:before="0"/>
            </w:pPr>
            <w:r>
              <w:rPr>
                <w:rFonts w:ascii="Arial" w:cs="Arial" w:eastAsia="Arial" w:hAnsi="Arial"/>
                <w:i w:val="false"/>
                <w:iCs w:val="false"/>
                <w:color w:val="1A1A18"/>
                <w:sz w:val="20"/>
                <w:szCs w:val="20"/>
              </w:rPr>
              <w:t xml:space="preserve">WELCOME does both simultaneously.</w:t>
            </w:r>
          </w:p>
          <w:p>
            <w:pPr>
              <w:spacing w:after="60" w:before="0"/>
            </w:pPr>
            <w:r>
              <w:rPr>
                <w:rFonts w:ascii="Arial" w:cs="Arial" w:eastAsia="Arial" w:hAnsi="Arial"/>
                <w:i w:val="false"/>
                <w:iCs w:val="false"/>
                <w:color w:val="1A1A18"/>
                <w:sz w:val="20"/>
                <w:szCs w:val="20"/>
              </w:rPr>
              <w:t xml:space="preserve">No study has yet combined them.</w:t>
            </w:r>
          </w:p>
          <w:p>
            <w:pPr>
              <w:spacing w:after="60" w:before="0"/>
            </w:pPr>
            <w:r>
              <w:rPr>
                <w:rFonts w:ascii="Arial" w:cs="Arial" w:eastAsia="Arial" w:hAnsi="Arial"/>
                <w:i w:val="false"/>
                <w:iCs w:val="false"/>
                <w:color w:val="1A1A18"/>
                <w:sz w:val="20"/>
                <w:szCs w:val="20"/>
              </w:rPr>
              <w:t xml:space="preserve">No study has yet asked what happens when a neurodivergent child’s drawing — its pressure, speed, colour, and the sounds the child makes while creating it — becomes their own music in real time, and their parent hears it from another room.</w:t>
            </w:r>
          </w:p>
          <w:p>
            <w:pPr>
              <w:spacing w:after="60" w:before="0"/>
            </w:pPr>
            <w:r>
              <w:rPr>
                <w:rFonts w:ascii="Arial" w:cs="Arial" w:eastAsia="Arial" w:hAnsi="Arial"/>
                <w:i w:val="false"/>
                <w:iCs w:val="false"/>
                <w:color w:val="1A1A18"/>
                <w:sz w:val="20"/>
                <w:szCs w:val="20"/>
              </w:rPr>
              <w:t xml:space="preserve">That is the question no one has answered. That is where we begin.</w:t>
            </w:r>
          </w:p>
        </w:tc>
      </w:tr>
    </w:tbl>
    <w:p>
      <w:pPr>
        <w:spacing w:after="0" w:before="160"/>
      </w:pPr>
    </w:p>
    <w:p>
      <w:pPr>
        <w:pStyle w:val="Heading2"/>
      </w:pPr>
      <w:r>
        <w:rPr>
          <w:rFonts w:ascii="Arial" w:cs="Arial" w:eastAsia="Arial" w:hAnsi="Arial"/>
          <w:b/>
          <w:bCs/>
          <w:color w:val="1A1A18"/>
          <w:sz w:val="20"/>
          <w:szCs w:val="20"/>
        </w:rPr>
        <w:t xml:space="preserve">From Reading to Building</w:t>
      </w:r>
    </w:p>
    <w:p>
      <w:pPr>
        <w:spacing w:after="120" w:before="0"/>
      </w:pPr>
      <w:r>
        <w:rPr>
          <w:rFonts w:ascii="Arial" w:cs="Arial" w:eastAsia="Arial" w:hAnsi="Arial"/>
          <w:color w:val="1A1A18"/>
          <w:sz w:val="22"/>
          <w:szCs w:val="22"/>
        </w:rPr>
        <w:t xml:space="preserve">Following this analysis, we mapped the complete user flow for the WELCOME platform. All 15 screens are now documented across three zones:</w:t>
      </w:r>
    </w:p>
    <w:p>
      <w:pPr>
        <w:pStyle w:val="ListParagraph"/>
        <w:numPr>
          <w:ilvl w:val="0"/>
          <w:numId w:val="2"/>
        </w:numPr>
        <w:spacing w:after="80" w:before="80"/>
      </w:pPr>
      <w:r>
        <w:rPr>
          <w:rFonts w:ascii="Arial" w:cs="Arial" w:eastAsia="Arial" w:hAnsi="Arial"/>
          <w:b/>
          <w:bCs/>
          <w:color w:val="1D5C47"/>
          <w:sz w:val="22"/>
          <w:szCs w:val="22"/>
        </w:rPr>
        <w:t xml:space="preserve">Onboarding (5 screens) — </w:t>
      </w:r>
      <w:r>
        <w:rPr>
          <w:rFonts w:ascii="Arial" w:cs="Arial" w:eastAsia="Arial" w:hAnsi="Arial"/>
          <w:color w:val="1A1A18"/>
          <w:sz w:val="22"/>
          <w:szCs w:val="22"/>
        </w:rPr>
        <w:t xml:space="preserve">Splash, Intro, Sign Up, Child Setup, PIN Setup</w:t>
      </w:r>
    </w:p>
    <w:p>
      <w:pPr>
        <w:pStyle w:val="ListParagraph"/>
        <w:numPr>
          <w:ilvl w:val="0"/>
          <w:numId w:val="2"/>
        </w:numPr>
        <w:spacing w:after="80" w:before="80"/>
      </w:pPr>
      <w:r>
        <w:rPr>
          <w:rFonts w:ascii="Arial" w:cs="Arial" w:eastAsia="Arial" w:hAnsi="Arial"/>
          <w:b/>
          <w:bCs/>
          <w:color w:val="1D5C47"/>
          <w:sz w:val="22"/>
          <w:szCs w:val="22"/>
        </w:rPr>
        <w:t xml:space="preserve">Parent Dashboard (6 screens) — </w:t>
      </w:r>
      <w:r>
        <w:rPr>
          <w:rFonts w:ascii="Arial" w:cs="Arial" w:eastAsia="Arial" w:hAnsi="Arial"/>
          <w:color w:val="1A1A18"/>
          <w:sz w:val="22"/>
          <w:szCs w:val="22"/>
        </w:rPr>
        <w:t xml:space="preserve">Home, Music Album, Library, Profile, Notifications, Child Mode handoff</w:t>
      </w:r>
    </w:p>
    <w:p>
      <w:pPr>
        <w:pStyle w:val="ListParagraph"/>
        <w:numPr>
          <w:ilvl w:val="0"/>
          <w:numId w:val="2"/>
        </w:numPr>
        <w:spacing w:after="80" w:before="80"/>
      </w:pPr>
      <w:r>
        <w:rPr>
          <w:rFonts w:ascii="Arial" w:cs="Arial" w:eastAsia="Arial" w:hAnsi="Arial"/>
          <w:b/>
          <w:bCs/>
          <w:color w:val="1D5C47"/>
          <w:sz w:val="22"/>
          <w:szCs w:val="22"/>
        </w:rPr>
        <w:t xml:space="preserve">Child Canvas (4 screens) — </w:t>
      </w:r>
      <w:r>
        <w:rPr>
          <w:rFonts w:ascii="Arial" w:cs="Arial" w:eastAsia="Arial" w:hAnsi="Arial"/>
          <w:color w:val="1A1A18"/>
          <w:sz w:val="22"/>
          <w:szCs w:val="22"/>
        </w:rPr>
        <w:t xml:space="preserve">Canvas, Music Playing, PIN exit screen, and the handoff transition</w:t>
      </w:r>
    </w:p>
    <w:p>
      <w:pPr>
        <w:spacing w:after="0" w:before="120"/>
      </w:pPr>
    </w:p>
    <w:p>
      <w:pPr>
        <w:spacing w:after="200" w:before="0"/>
      </w:pPr>
      <w:r>
        <w:rPr>
          <w:rFonts w:ascii="Arial" w:cs="Arial" w:eastAsia="Arial" w:hAnsi="Arial"/>
          <w:color w:val="1A1A18"/>
          <w:sz w:val="22"/>
          <w:szCs w:val="22"/>
        </w:rPr>
        <w:t xml:space="preserve">The User Flow diagram has been exported as a high-resolution PNG and is available for the full team. Every screen is named, every transition mapped, every flow documented.</w:t>
      </w:r>
    </w:p>
    <w:p>
      <w:pPr>
        <w:pStyle w:val="Heading2"/>
      </w:pPr>
      <w:r>
        <w:rPr>
          <w:rFonts w:ascii="Arial" w:cs="Arial" w:eastAsia="Arial" w:hAnsi="Arial"/>
          <w:b/>
          <w:bCs/>
          <w:color w:val="1A1A18"/>
          <w:sz w:val="20"/>
          <w:szCs w:val="20"/>
        </w:rPr>
        <w:t xml:space="preserve">What Comes Next</w:t>
      </w:r>
    </w:p>
    <w:p>
      <w:pPr>
        <w:spacing w:after="200" w:before="0"/>
      </w:pPr>
      <w:r>
        <w:rPr>
          <w:rFonts w:ascii="Arial" w:cs="Arial" w:eastAsia="Arial" w:hAnsi="Arial"/>
          <w:color w:val="1A1A18"/>
          <w:sz w:val="22"/>
          <w:szCs w:val="22"/>
        </w:rPr>
        <w:t xml:space="preserve">We build. Starting with the Canvas and Child Mode — the two screens Nolan can touch this week. Everything else follows from what we learn when he does.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1D5C47" w:sz="12"/>
              <w:left w:val="none" w:color="FFFFFF" w:sz="0"/>
              <w:bottom w:val="none" w:color="FFFFFF" w:sz="0"/>
              <w:right w:val="none" w:color="FFFFFF" w:sz="0"/>
            </w:tcBorders>
            <w:shd w:fill="E8F5F1" w:val="clear"/>
            <w:tcMar>
              <w:top w:type="dxa" w:w="160"/>
              <w:left w:type="dxa" w:w="240"/>
              <w:bottom w:type="dxa" w:w="160"/>
              <w:right w:type="dxa" w:w="240"/>
            </w:tcMar>
          </w:tcPr>
          <w:p>
            <w:pPr>
              <w:spacing w:after="60" w:before="0"/>
            </w:pPr>
            <w:r>
              <w:rPr>
                <w:rFonts w:ascii="Arial" w:cs="Arial" w:eastAsia="Arial" w:hAnsi="Arial"/>
                <w:i w:val="false"/>
                <w:iCs w:val="false"/>
                <w:color w:val="1A1A18"/>
                <w:sz w:val="20"/>
                <w:szCs w:val="20"/>
              </w:rPr>
              <w:t xml:space="preserve">Step 1: Build Canvas + Child Mode (this week)</w:t>
            </w:r>
          </w:p>
          <w:p>
            <w:pPr>
              <w:spacing w:after="60" w:before="0"/>
            </w:pPr>
            <w:r>
              <w:rPr>
                <w:rFonts w:ascii="Arial" w:cs="Arial" w:eastAsia="Arial" w:hAnsi="Arial"/>
                <w:i w:val="false"/>
                <w:iCs w:val="false"/>
                <w:color w:val="1A1A18"/>
                <w:sz w:val="20"/>
                <w:szCs w:val="20"/>
              </w:rPr>
              <w:t xml:space="preserve">Step 2: Test with Nolan and Shantal</w:t>
            </w:r>
          </w:p>
          <w:p>
            <w:pPr>
              <w:spacing w:after="60" w:before="0"/>
            </w:pPr>
            <w:r>
              <w:rPr>
                <w:rFonts w:ascii="Arial" w:cs="Arial" w:eastAsia="Arial" w:hAnsi="Arial"/>
                <w:i w:val="false"/>
                <w:iCs w:val="false"/>
                <w:color w:val="1A1A18"/>
                <w:sz w:val="20"/>
                <w:szCs w:val="20"/>
              </w:rPr>
              <w:t xml:space="preserve">Step 3: Build Parent Dashboard with real audio playback</w:t>
            </w:r>
          </w:p>
          <w:p>
            <w:pPr>
              <w:spacing w:after="60" w:before="0"/>
            </w:pPr>
            <w:r>
              <w:rPr>
                <w:rFonts w:ascii="Arial" w:cs="Arial" w:eastAsia="Arial" w:hAnsi="Arial"/>
                <w:i w:val="false"/>
                <w:iCs w:val="false"/>
                <w:color w:val="1A1A18"/>
                <w:sz w:val="20"/>
                <w:szCs w:val="20"/>
              </w:rPr>
              <w:t xml:space="preserve">Step 4: Connect the music engine</w:t>
            </w:r>
          </w:p>
        </w:tc>
      </w:tr>
    </w:tbl>
    <w:p>
      <w:pPr>
        <w:spacing w:after="0" w:before="200"/>
      </w:pPr>
    </w:p>
    <w:p>
      <w:pPr>
        <w:pBdr>
          <w:bottom w:val="single" w:color="1D5C47" w:sz="8" w:space="1"/>
        </w:pBdr>
        <w:spacing w:after="20" w:before="20"/>
      </w:pPr>
    </w:p>
    <w:p>
      <w:pPr>
        <w:spacing w:after="0" w:before="200"/>
        <w:jc w:val="center"/>
      </w:pPr>
      <w:r>
        <w:rPr>
          <w:rFonts w:ascii="Arial" w:cs="Arial" w:eastAsia="Arial" w:hAnsi="Arial"/>
          <w:color w:val="666666"/>
          <w:sz w:val="17"/>
          <w:szCs w:val="17"/>
        </w:rPr>
        <w:t xml:space="preserve">WELCOME — A Secret Universe. Made Audible.  ·  Internal use only  ·  June 2026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D5C47"/>
      <w:sz w:val="36"/>
      <w:szCs w:val="36"/>
    </w:rPr>
  </w:style>
  <w:style w:type="paragraph" w:styleId="Heading2">
    <w:name w:val="Heading 2"/>
    <w:basedOn w:val="Normal"/>
    <w:next w:val="Normal"/>
    <w:qFormat/>
    <w:pPr>
      <w:spacing w:after="120" w:before="280"/>
      <w:outlineLvl w:val="1"/>
    </w:pPr>
    <w:rPr>
      <w:rFonts w:ascii="Arial" w:cs="Arial" w:eastAsia="Arial" w:hAnsi="Arial"/>
      <w:b/>
      <w:bCs/>
      <w:color w:val="1A1A18"/>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2026-06-29T04:09:15.287Z</dcterms:created>
  <dcterms:modified xsi:type="dcterms:W3CDTF">2026-06-29T04:09:15.298Z</dcterms:modified>
</cp:coreProperties>
</file>

<file path=docProps/custom.xml><?xml version="1.0" encoding="utf-8"?>
<Properties xmlns="http://schemas.openxmlformats.org/officeDocument/2006/custom-properties" xmlns:vt="http://schemas.openxmlformats.org/officeDocument/2006/docPropsVTypes"/>
</file>